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BC8F" w14:textId="59F114E4" w:rsidR="00211389" w:rsidRDefault="00211389" w:rsidP="00211389">
      <w:pPr>
        <w:spacing w:after="0" w:line="240" w:lineRule="auto"/>
        <w:ind w:left="14" w:right="43"/>
        <w:jc w:val="center"/>
        <w:rPr>
          <w:rFonts w:cstheme="minorHAnsi"/>
          <w:b/>
          <w:bCs/>
          <w:sz w:val="28"/>
          <w:szCs w:val="28"/>
        </w:rPr>
      </w:pPr>
      <w:r w:rsidRPr="00211389">
        <w:rPr>
          <w:rFonts w:cstheme="minorHAnsi"/>
          <w:b/>
          <w:bCs/>
          <w:sz w:val="28"/>
          <w:szCs w:val="28"/>
        </w:rPr>
        <w:t>SOLE SOURCE ADDITIONAL SUPPORTING DOCUMENTATION</w:t>
      </w:r>
    </w:p>
    <w:p w14:paraId="10BB44B3" w14:textId="66C721CF" w:rsidR="00211389" w:rsidRPr="00211389" w:rsidRDefault="004C51FA" w:rsidP="00211389">
      <w:pPr>
        <w:spacing w:after="0" w:line="240" w:lineRule="auto"/>
        <w:ind w:left="14" w:right="43"/>
        <w:jc w:val="center"/>
        <w:rPr>
          <w:rFonts w:cstheme="minorHAnsi"/>
          <w:b/>
          <w:bCs/>
          <w:sz w:val="28"/>
          <w:szCs w:val="28"/>
        </w:rPr>
      </w:pPr>
      <w:r>
        <w:rPr>
          <w:rFonts w:cstheme="minorHAnsi"/>
          <w:b/>
          <w:bCs/>
          <w:sz w:val="28"/>
          <w:szCs w:val="28"/>
        </w:rPr>
        <w:t>PUBLIC HEALTH INSTITUTE OF METROPOLITAN CHICAGO (PHIMC)</w:t>
      </w:r>
    </w:p>
    <w:p w14:paraId="42185885" w14:textId="77777777" w:rsidR="00211389" w:rsidRDefault="00211389" w:rsidP="00211389">
      <w:pPr>
        <w:spacing w:after="295"/>
        <w:ind w:left="14" w:right="42" w:firstLine="7"/>
        <w:rPr>
          <w:rFonts w:cstheme="minorHAnsi"/>
          <w:b/>
          <w:bCs/>
          <w:sz w:val="24"/>
          <w:szCs w:val="24"/>
          <w:u w:val="single"/>
        </w:rPr>
      </w:pPr>
    </w:p>
    <w:p w14:paraId="3555DA55" w14:textId="260CB95D" w:rsidR="00211389" w:rsidRDefault="00211389" w:rsidP="00211389">
      <w:pPr>
        <w:spacing w:after="295"/>
        <w:ind w:left="14" w:right="42" w:firstLine="7"/>
        <w:rPr>
          <w:rFonts w:cstheme="minorHAnsi"/>
          <w:b/>
          <w:bCs/>
          <w:sz w:val="24"/>
          <w:szCs w:val="24"/>
          <w:u w:val="single"/>
        </w:rPr>
      </w:pPr>
      <w:r>
        <w:rPr>
          <w:rFonts w:cstheme="minorHAnsi"/>
          <w:b/>
          <w:bCs/>
          <w:sz w:val="24"/>
          <w:szCs w:val="24"/>
          <w:u w:val="single"/>
        </w:rPr>
        <w:t>Value of Initial Term:</w:t>
      </w:r>
    </w:p>
    <w:p w14:paraId="512FFE53" w14:textId="3C3102F6" w:rsidR="00211389" w:rsidRDefault="00211389" w:rsidP="00211389">
      <w:pPr>
        <w:spacing w:after="0" w:line="240" w:lineRule="auto"/>
        <w:ind w:left="14" w:right="43"/>
        <w:rPr>
          <w:rFonts w:cstheme="minorHAnsi"/>
          <w:sz w:val="24"/>
          <w:szCs w:val="24"/>
        </w:rPr>
      </w:pPr>
      <w:r>
        <w:rPr>
          <w:rFonts w:cstheme="minorHAnsi"/>
          <w:sz w:val="24"/>
          <w:szCs w:val="24"/>
        </w:rPr>
        <w:t>$</w:t>
      </w:r>
      <w:r w:rsidR="00CE2C8C">
        <w:rPr>
          <w:rFonts w:cstheme="minorHAnsi"/>
          <w:sz w:val="24"/>
          <w:szCs w:val="24"/>
        </w:rPr>
        <w:t>1</w:t>
      </w:r>
      <w:r w:rsidR="004C51FA">
        <w:rPr>
          <w:rFonts w:cstheme="minorHAnsi"/>
          <w:sz w:val="24"/>
          <w:szCs w:val="24"/>
        </w:rPr>
        <w:t>85</w:t>
      </w:r>
      <w:r>
        <w:rPr>
          <w:rFonts w:cstheme="minorHAnsi"/>
          <w:sz w:val="24"/>
          <w:szCs w:val="24"/>
        </w:rPr>
        <w:t>,000.00 from January 1, 2021-August 31, 2024</w:t>
      </w:r>
    </w:p>
    <w:p w14:paraId="340D25E7" w14:textId="35F3A0BC" w:rsidR="00211389" w:rsidRDefault="00211389" w:rsidP="00211389">
      <w:pPr>
        <w:spacing w:after="0" w:line="240" w:lineRule="auto"/>
        <w:ind w:left="14" w:right="43"/>
        <w:rPr>
          <w:rFonts w:cstheme="minorHAnsi"/>
          <w:sz w:val="24"/>
          <w:szCs w:val="24"/>
        </w:rPr>
      </w:pPr>
      <w:r>
        <w:rPr>
          <w:rFonts w:cstheme="minorHAnsi"/>
          <w:sz w:val="24"/>
          <w:szCs w:val="24"/>
        </w:rPr>
        <w:t>Year 1: $</w:t>
      </w:r>
      <w:r w:rsidR="004C51FA">
        <w:rPr>
          <w:rFonts w:cstheme="minorHAnsi"/>
          <w:sz w:val="24"/>
          <w:szCs w:val="24"/>
        </w:rPr>
        <w:t>1</w:t>
      </w:r>
      <w:r>
        <w:rPr>
          <w:rFonts w:cstheme="minorHAnsi"/>
          <w:sz w:val="24"/>
          <w:szCs w:val="24"/>
        </w:rPr>
        <w:t>0,000.00</w:t>
      </w:r>
    </w:p>
    <w:p w14:paraId="0022ECC8" w14:textId="2CD871E6" w:rsidR="00211389" w:rsidRDefault="00211389" w:rsidP="00211389">
      <w:pPr>
        <w:spacing w:after="0" w:line="240" w:lineRule="auto"/>
        <w:ind w:left="14" w:right="43"/>
        <w:rPr>
          <w:rFonts w:cstheme="minorHAnsi"/>
          <w:sz w:val="24"/>
          <w:szCs w:val="24"/>
        </w:rPr>
      </w:pPr>
      <w:r>
        <w:rPr>
          <w:rFonts w:cstheme="minorHAnsi"/>
          <w:sz w:val="24"/>
          <w:szCs w:val="24"/>
        </w:rPr>
        <w:t>Year 2: $</w:t>
      </w:r>
      <w:r w:rsidR="004C51FA">
        <w:rPr>
          <w:rFonts w:cstheme="minorHAnsi"/>
          <w:sz w:val="24"/>
          <w:szCs w:val="24"/>
        </w:rPr>
        <w:t>25</w:t>
      </w:r>
      <w:r>
        <w:rPr>
          <w:rFonts w:cstheme="minorHAnsi"/>
          <w:sz w:val="24"/>
          <w:szCs w:val="24"/>
        </w:rPr>
        <w:t>,000.00</w:t>
      </w:r>
    </w:p>
    <w:p w14:paraId="13CAD29A" w14:textId="1AA11E5C" w:rsidR="00211389" w:rsidRDefault="00211389" w:rsidP="00211389">
      <w:pPr>
        <w:spacing w:after="0" w:line="240" w:lineRule="auto"/>
        <w:ind w:left="14" w:right="43"/>
        <w:rPr>
          <w:rFonts w:cstheme="minorHAnsi"/>
          <w:sz w:val="24"/>
          <w:szCs w:val="24"/>
        </w:rPr>
      </w:pPr>
      <w:r>
        <w:rPr>
          <w:rFonts w:cstheme="minorHAnsi"/>
          <w:sz w:val="24"/>
          <w:szCs w:val="24"/>
        </w:rPr>
        <w:t xml:space="preserve">Year 3: </w:t>
      </w:r>
      <w:r>
        <w:rPr>
          <w:rFonts w:cstheme="minorHAnsi"/>
          <w:sz w:val="24"/>
          <w:szCs w:val="24"/>
        </w:rPr>
        <w:t>$</w:t>
      </w:r>
      <w:r w:rsidR="004C51FA">
        <w:rPr>
          <w:rFonts w:cstheme="minorHAnsi"/>
          <w:sz w:val="24"/>
          <w:szCs w:val="24"/>
        </w:rPr>
        <w:t>25</w:t>
      </w:r>
      <w:r>
        <w:rPr>
          <w:rFonts w:cstheme="minorHAnsi"/>
          <w:sz w:val="24"/>
          <w:szCs w:val="24"/>
        </w:rPr>
        <w:t>,000.00</w:t>
      </w:r>
    </w:p>
    <w:p w14:paraId="0EAFA56B" w14:textId="483F74D7" w:rsidR="00211389" w:rsidRDefault="00211389" w:rsidP="00211389">
      <w:pPr>
        <w:spacing w:after="0" w:line="240" w:lineRule="auto"/>
        <w:ind w:left="14" w:right="43"/>
        <w:rPr>
          <w:rFonts w:cstheme="minorHAnsi"/>
          <w:sz w:val="24"/>
          <w:szCs w:val="24"/>
        </w:rPr>
      </w:pPr>
      <w:r>
        <w:rPr>
          <w:rFonts w:cstheme="minorHAnsi"/>
          <w:sz w:val="24"/>
          <w:szCs w:val="24"/>
        </w:rPr>
        <w:t xml:space="preserve">Year 4: </w:t>
      </w:r>
      <w:r>
        <w:rPr>
          <w:rFonts w:cstheme="minorHAnsi"/>
          <w:sz w:val="24"/>
          <w:szCs w:val="24"/>
        </w:rPr>
        <w:t>$</w:t>
      </w:r>
      <w:r w:rsidR="004C51FA">
        <w:rPr>
          <w:rFonts w:cstheme="minorHAnsi"/>
          <w:sz w:val="24"/>
          <w:szCs w:val="24"/>
        </w:rPr>
        <w:t>25</w:t>
      </w:r>
      <w:r>
        <w:rPr>
          <w:rFonts w:cstheme="minorHAnsi"/>
          <w:sz w:val="24"/>
          <w:szCs w:val="24"/>
        </w:rPr>
        <w:t>,000.00</w:t>
      </w:r>
    </w:p>
    <w:p w14:paraId="66D47421" w14:textId="0369B119" w:rsidR="00211389" w:rsidRPr="00211389" w:rsidRDefault="00211389" w:rsidP="00211389">
      <w:pPr>
        <w:spacing w:after="295"/>
        <w:ind w:right="42"/>
        <w:rPr>
          <w:rFonts w:cstheme="minorHAnsi"/>
          <w:sz w:val="24"/>
          <w:szCs w:val="24"/>
        </w:rPr>
      </w:pPr>
    </w:p>
    <w:p w14:paraId="0A8BFAA0" w14:textId="08335BCF" w:rsidR="00211389" w:rsidRPr="00211389" w:rsidRDefault="00211389" w:rsidP="00211389">
      <w:pPr>
        <w:spacing w:after="295"/>
        <w:ind w:left="14" w:right="42" w:firstLine="7"/>
        <w:rPr>
          <w:rFonts w:cstheme="minorHAnsi"/>
          <w:b/>
          <w:bCs/>
          <w:sz w:val="24"/>
          <w:szCs w:val="24"/>
          <w:u w:val="single"/>
        </w:rPr>
      </w:pPr>
      <w:r w:rsidRPr="00211389">
        <w:rPr>
          <w:rFonts w:cstheme="minorHAnsi"/>
          <w:b/>
          <w:bCs/>
          <w:sz w:val="24"/>
          <w:szCs w:val="24"/>
          <w:u w:val="single"/>
        </w:rPr>
        <w:t>Business Rationale, Question #1:</w:t>
      </w:r>
    </w:p>
    <w:p w14:paraId="15EAB5AD" w14:textId="511A6421" w:rsidR="00211389" w:rsidRPr="004767D8" w:rsidRDefault="004C51FA" w:rsidP="00211389">
      <w:pPr>
        <w:spacing w:after="295"/>
        <w:ind w:left="14" w:right="42" w:firstLine="7"/>
        <w:rPr>
          <w:rFonts w:cstheme="minorHAnsi"/>
          <w:sz w:val="24"/>
          <w:szCs w:val="24"/>
        </w:rPr>
      </w:pPr>
      <w:r>
        <w:rPr>
          <w:rFonts w:cstheme="minorHAnsi"/>
          <w:sz w:val="24"/>
          <w:szCs w:val="24"/>
        </w:rPr>
        <w:t>Public Health Institute of Metropolitan Chicago (PHIMC)</w:t>
      </w:r>
      <w:r w:rsidR="00211389" w:rsidRPr="004767D8">
        <w:rPr>
          <w:rFonts w:cstheme="minorHAnsi"/>
          <w:sz w:val="24"/>
          <w:szCs w:val="24"/>
        </w:rPr>
        <w:t xml:space="preserve"> will provide the Services described below into Malcolm X College </w:t>
      </w:r>
      <w:r w:rsidR="00211389">
        <w:rPr>
          <w:rFonts w:cstheme="minorHAnsi"/>
          <w:sz w:val="24"/>
          <w:szCs w:val="24"/>
        </w:rPr>
        <w:t>a</w:t>
      </w:r>
      <w:r w:rsidR="00211389" w:rsidRPr="004767D8">
        <w:rPr>
          <w:rFonts w:cstheme="minorHAnsi"/>
          <w:sz w:val="24"/>
          <w:szCs w:val="24"/>
        </w:rPr>
        <w:t>greed upon by both parties</w:t>
      </w:r>
      <w:r w:rsidR="00211389">
        <w:rPr>
          <w:rFonts w:cstheme="minorHAnsi"/>
          <w:sz w:val="24"/>
          <w:szCs w:val="24"/>
        </w:rPr>
        <w:t xml:space="preserve"> to fulfill the objectives and goals of the Opioid Impacted Family Support Program (OIFSP) grant</w:t>
      </w:r>
      <w:r w:rsidR="00211389" w:rsidRPr="004767D8">
        <w:rPr>
          <w:rFonts w:cstheme="minorHAnsi"/>
          <w:sz w:val="24"/>
          <w:szCs w:val="24"/>
        </w:rPr>
        <w:t>:</w:t>
      </w:r>
    </w:p>
    <w:p w14:paraId="4DFA4683" w14:textId="77777777" w:rsidR="004C51FA" w:rsidRPr="002A0F74" w:rsidRDefault="004C51FA" w:rsidP="004C51FA">
      <w:pPr>
        <w:spacing w:after="3"/>
        <w:ind w:left="28"/>
        <w:rPr>
          <w:rFonts w:cstheme="minorHAnsi"/>
          <w:sz w:val="24"/>
          <w:szCs w:val="24"/>
        </w:rPr>
      </w:pPr>
      <w:r w:rsidRPr="002A0F74">
        <w:rPr>
          <w:rFonts w:cstheme="minorHAnsi"/>
          <w:sz w:val="24"/>
          <w:szCs w:val="24"/>
          <w:u w:val="single" w:color="000000"/>
        </w:rPr>
        <w:t>Description of Services:</w:t>
      </w:r>
    </w:p>
    <w:p w14:paraId="156FDB7F" w14:textId="77777777" w:rsidR="004C51FA" w:rsidRPr="002A0F74" w:rsidRDefault="004C51FA" w:rsidP="004C51FA">
      <w:pPr>
        <w:numPr>
          <w:ilvl w:val="1"/>
          <w:numId w:val="1"/>
        </w:numPr>
        <w:spacing w:after="27" w:line="247" w:lineRule="auto"/>
        <w:ind w:right="42" w:hanging="359"/>
        <w:jc w:val="both"/>
        <w:rPr>
          <w:rFonts w:cstheme="minorHAnsi"/>
          <w:sz w:val="24"/>
          <w:szCs w:val="24"/>
        </w:rPr>
      </w:pPr>
      <w:r w:rsidRPr="002A0F74">
        <w:rPr>
          <w:rFonts w:cstheme="minorHAnsi"/>
          <w:sz w:val="24"/>
          <w:szCs w:val="24"/>
        </w:rPr>
        <w:t xml:space="preserve">Recruitment: </w:t>
      </w:r>
    </w:p>
    <w:p w14:paraId="7F444AAF" w14:textId="77777777" w:rsidR="004C51FA" w:rsidRPr="002A0F74" w:rsidRDefault="004C51FA" w:rsidP="004C51FA">
      <w:pPr>
        <w:numPr>
          <w:ilvl w:val="2"/>
          <w:numId w:val="1"/>
        </w:numPr>
        <w:spacing w:after="27" w:line="247" w:lineRule="auto"/>
        <w:ind w:right="42" w:hanging="359"/>
        <w:jc w:val="both"/>
        <w:rPr>
          <w:rFonts w:cstheme="minorHAnsi"/>
          <w:sz w:val="24"/>
          <w:szCs w:val="24"/>
        </w:rPr>
      </w:pPr>
      <w:r w:rsidRPr="002A0F74">
        <w:rPr>
          <w:rFonts w:cstheme="minorHAnsi"/>
          <w:sz w:val="24"/>
          <w:szCs w:val="24"/>
        </w:rPr>
        <w:t>PHIMC will actively recruit and support development of apprenticeship partners to include:</w:t>
      </w:r>
    </w:p>
    <w:p w14:paraId="79F21A93" w14:textId="77777777" w:rsidR="004C51FA" w:rsidRPr="002A0F74" w:rsidRDefault="004C51FA" w:rsidP="004C51FA">
      <w:pPr>
        <w:numPr>
          <w:ilvl w:val="3"/>
          <w:numId w:val="1"/>
        </w:numPr>
        <w:spacing w:after="27" w:line="247" w:lineRule="auto"/>
        <w:ind w:right="42" w:hanging="359"/>
        <w:jc w:val="both"/>
        <w:rPr>
          <w:rFonts w:cstheme="minorHAnsi"/>
          <w:sz w:val="24"/>
          <w:szCs w:val="24"/>
        </w:rPr>
      </w:pPr>
      <w:r w:rsidRPr="002A0F74">
        <w:rPr>
          <w:rFonts w:cstheme="minorHAnsi"/>
          <w:sz w:val="24"/>
          <w:szCs w:val="24"/>
        </w:rPr>
        <w:t>Facilitation of relationship and meetings between apprenticeship partner and Malcolm X College.</w:t>
      </w:r>
    </w:p>
    <w:p w14:paraId="57F2751C" w14:textId="77777777" w:rsidR="004C51FA" w:rsidRPr="002A0F74" w:rsidRDefault="004C51FA" w:rsidP="004C51FA">
      <w:pPr>
        <w:numPr>
          <w:ilvl w:val="4"/>
          <w:numId w:val="1"/>
        </w:numPr>
        <w:spacing w:after="27" w:line="247" w:lineRule="auto"/>
        <w:ind w:right="42" w:hanging="359"/>
        <w:jc w:val="both"/>
        <w:rPr>
          <w:rFonts w:cstheme="minorHAnsi"/>
          <w:sz w:val="24"/>
          <w:szCs w:val="24"/>
        </w:rPr>
      </w:pPr>
      <w:r w:rsidRPr="002A0F74">
        <w:rPr>
          <w:rFonts w:cstheme="minorHAnsi"/>
          <w:sz w:val="24"/>
          <w:szCs w:val="24"/>
        </w:rPr>
        <w:t>Year 1:  At least two (2) partnerships</w:t>
      </w:r>
    </w:p>
    <w:p w14:paraId="0B8388D2" w14:textId="77777777" w:rsidR="004C51FA" w:rsidRPr="002A0F74" w:rsidRDefault="004C51FA" w:rsidP="004C51FA">
      <w:pPr>
        <w:numPr>
          <w:ilvl w:val="4"/>
          <w:numId w:val="1"/>
        </w:numPr>
        <w:spacing w:after="27" w:line="247" w:lineRule="auto"/>
        <w:ind w:right="42" w:hanging="359"/>
        <w:jc w:val="both"/>
        <w:rPr>
          <w:rFonts w:cstheme="minorHAnsi"/>
          <w:sz w:val="24"/>
          <w:szCs w:val="24"/>
        </w:rPr>
      </w:pPr>
      <w:r w:rsidRPr="002A0F74">
        <w:rPr>
          <w:rFonts w:cstheme="minorHAnsi"/>
          <w:sz w:val="24"/>
          <w:szCs w:val="24"/>
        </w:rPr>
        <w:t>Years 2-4: At least four (4) partnerships each year</w:t>
      </w:r>
    </w:p>
    <w:p w14:paraId="50248501" w14:textId="77777777" w:rsidR="004C51FA" w:rsidRPr="002A0F74" w:rsidRDefault="004C51FA" w:rsidP="004C51FA">
      <w:pPr>
        <w:numPr>
          <w:ilvl w:val="3"/>
          <w:numId w:val="1"/>
        </w:numPr>
        <w:spacing w:after="27" w:line="247" w:lineRule="auto"/>
        <w:ind w:right="42" w:hanging="359"/>
        <w:jc w:val="both"/>
        <w:rPr>
          <w:rFonts w:cstheme="minorHAnsi"/>
          <w:sz w:val="24"/>
          <w:szCs w:val="24"/>
        </w:rPr>
      </w:pPr>
      <w:r w:rsidRPr="002A0F74">
        <w:rPr>
          <w:rFonts w:cstheme="minorHAnsi"/>
          <w:sz w:val="24"/>
          <w:szCs w:val="24"/>
        </w:rPr>
        <w:t>Facilitation of any Memorandums of Understanding and documents to become a Dept of Labor registered apprenticeship site with CCC District Office of Apprenticeships and Workforce Partnerships.</w:t>
      </w:r>
    </w:p>
    <w:p w14:paraId="240F515B" w14:textId="77777777" w:rsidR="004C51FA" w:rsidRDefault="004C51FA" w:rsidP="004C51FA">
      <w:pPr>
        <w:numPr>
          <w:ilvl w:val="2"/>
          <w:numId w:val="1"/>
        </w:numPr>
        <w:spacing w:after="27" w:line="247" w:lineRule="auto"/>
        <w:ind w:right="42" w:hanging="359"/>
        <w:jc w:val="both"/>
        <w:rPr>
          <w:rFonts w:cstheme="minorHAnsi"/>
          <w:sz w:val="24"/>
          <w:szCs w:val="24"/>
        </w:rPr>
      </w:pPr>
      <w:r w:rsidRPr="002A0F74">
        <w:rPr>
          <w:rFonts w:cstheme="minorHAnsi"/>
          <w:sz w:val="24"/>
          <w:szCs w:val="24"/>
        </w:rPr>
        <w:t xml:space="preserve">PHIMC will actively recruit Level One participants from partner organizations by sharing information provided by Malcolm X College each semester. </w:t>
      </w:r>
    </w:p>
    <w:p w14:paraId="7AB0C94D" w14:textId="77777777" w:rsidR="004C51FA" w:rsidRPr="002A0F74" w:rsidRDefault="004C51FA" w:rsidP="004C51FA">
      <w:pPr>
        <w:spacing w:after="27" w:line="247" w:lineRule="auto"/>
        <w:ind w:right="42"/>
        <w:jc w:val="both"/>
        <w:rPr>
          <w:rFonts w:cstheme="minorHAnsi"/>
          <w:sz w:val="24"/>
          <w:szCs w:val="24"/>
        </w:rPr>
      </w:pPr>
    </w:p>
    <w:p w14:paraId="6B27867B" w14:textId="77777777" w:rsidR="004C51FA" w:rsidRPr="002A0F74" w:rsidRDefault="004C51FA" w:rsidP="004C51FA">
      <w:pPr>
        <w:numPr>
          <w:ilvl w:val="1"/>
          <w:numId w:val="1"/>
        </w:numPr>
        <w:spacing w:after="0" w:line="240" w:lineRule="auto"/>
        <w:ind w:right="43" w:hanging="360"/>
        <w:jc w:val="both"/>
        <w:rPr>
          <w:rFonts w:cstheme="minorHAnsi"/>
          <w:sz w:val="24"/>
          <w:szCs w:val="24"/>
        </w:rPr>
      </w:pPr>
      <w:r w:rsidRPr="002A0F74">
        <w:rPr>
          <w:rFonts w:cstheme="minorHAnsi"/>
          <w:sz w:val="24"/>
          <w:szCs w:val="24"/>
        </w:rPr>
        <w:t>Data Sharing:</w:t>
      </w:r>
    </w:p>
    <w:p w14:paraId="665F1218" w14:textId="77777777" w:rsidR="004C51FA" w:rsidRPr="002A0F74" w:rsidRDefault="004C51FA" w:rsidP="004C51FA">
      <w:pPr>
        <w:numPr>
          <w:ilvl w:val="2"/>
          <w:numId w:val="1"/>
        </w:numPr>
        <w:spacing w:after="0" w:line="240" w:lineRule="auto"/>
        <w:ind w:right="43" w:hanging="360"/>
        <w:jc w:val="both"/>
        <w:rPr>
          <w:rFonts w:cstheme="minorHAnsi"/>
          <w:sz w:val="24"/>
          <w:szCs w:val="24"/>
        </w:rPr>
      </w:pPr>
      <w:r w:rsidRPr="002A0F74">
        <w:rPr>
          <w:rFonts w:cstheme="minorHAnsi"/>
          <w:sz w:val="24"/>
          <w:szCs w:val="24"/>
        </w:rPr>
        <w:t>All disaggregated student/participant data shared with Malcolm X College regarding apprenticeship placement and performance will be aggregated by Malcolm X College for grant reporting purposes.</w:t>
      </w:r>
    </w:p>
    <w:p w14:paraId="684614D5" w14:textId="77777777" w:rsidR="004C51FA" w:rsidRPr="002A0F74" w:rsidRDefault="004C51FA" w:rsidP="004C51FA">
      <w:pPr>
        <w:numPr>
          <w:ilvl w:val="2"/>
          <w:numId w:val="1"/>
        </w:numPr>
        <w:spacing w:after="0" w:line="240" w:lineRule="auto"/>
        <w:ind w:right="43" w:hanging="360"/>
        <w:jc w:val="both"/>
        <w:rPr>
          <w:rFonts w:cstheme="minorHAnsi"/>
          <w:sz w:val="24"/>
          <w:szCs w:val="24"/>
        </w:rPr>
      </w:pPr>
      <w:r w:rsidRPr="002A0F74">
        <w:rPr>
          <w:rFonts w:cstheme="minorHAnsi"/>
          <w:sz w:val="24"/>
          <w:szCs w:val="24"/>
        </w:rPr>
        <w:t>All required apprenticeship site data will be shared with Malcolm X College for grant reporting purposes.</w:t>
      </w:r>
    </w:p>
    <w:p w14:paraId="639A21B8" w14:textId="77777777" w:rsidR="004C51FA" w:rsidRPr="002A0F74" w:rsidRDefault="004C51FA" w:rsidP="004C51FA">
      <w:pPr>
        <w:numPr>
          <w:ilvl w:val="1"/>
          <w:numId w:val="1"/>
        </w:numPr>
        <w:spacing w:after="0" w:line="240" w:lineRule="auto"/>
        <w:ind w:right="43" w:hanging="360"/>
        <w:jc w:val="both"/>
        <w:rPr>
          <w:rFonts w:cstheme="minorHAnsi"/>
          <w:sz w:val="24"/>
          <w:szCs w:val="24"/>
        </w:rPr>
      </w:pPr>
      <w:r w:rsidRPr="002A0F74">
        <w:rPr>
          <w:rFonts w:cstheme="minorHAnsi"/>
          <w:sz w:val="24"/>
          <w:szCs w:val="24"/>
        </w:rPr>
        <w:t xml:space="preserve">Curriculum Support: </w:t>
      </w:r>
    </w:p>
    <w:p w14:paraId="2B0C70BA" w14:textId="77777777" w:rsidR="004C51FA" w:rsidRPr="002A0F74" w:rsidRDefault="004C51FA" w:rsidP="004C51FA">
      <w:pPr>
        <w:numPr>
          <w:ilvl w:val="2"/>
          <w:numId w:val="1"/>
        </w:numPr>
        <w:spacing w:after="0" w:line="240" w:lineRule="auto"/>
        <w:ind w:right="43" w:hanging="360"/>
        <w:jc w:val="both"/>
        <w:rPr>
          <w:rFonts w:cstheme="minorHAnsi"/>
          <w:sz w:val="24"/>
          <w:szCs w:val="24"/>
        </w:rPr>
      </w:pPr>
      <w:r w:rsidRPr="002A0F74">
        <w:rPr>
          <w:rFonts w:cstheme="minorHAnsi"/>
          <w:sz w:val="24"/>
          <w:szCs w:val="24"/>
        </w:rPr>
        <w:t xml:space="preserve">PHIMC will provide input to MXC CHW curriculum development in content area of SUD/OUD related to various courses.  </w:t>
      </w:r>
    </w:p>
    <w:p w14:paraId="174D6418" w14:textId="77777777" w:rsidR="004C51FA" w:rsidRPr="002A0F74" w:rsidRDefault="004C51FA" w:rsidP="004C51FA">
      <w:pPr>
        <w:numPr>
          <w:ilvl w:val="2"/>
          <w:numId w:val="1"/>
        </w:numPr>
        <w:spacing w:after="0" w:line="240" w:lineRule="auto"/>
        <w:ind w:right="43" w:hanging="360"/>
        <w:jc w:val="both"/>
        <w:rPr>
          <w:rFonts w:cstheme="minorHAnsi"/>
          <w:sz w:val="24"/>
          <w:szCs w:val="24"/>
        </w:rPr>
      </w:pPr>
      <w:r w:rsidRPr="002A0F74">
        <w:rPr>
          <w:rFonts w:cstheme="minorHAnsi"/>
          <w:sz w:val="24"/>
          <w:szCs w:val="24"/>
        </w:rPr>
        <w:lastRenderedPageBreak/>
        <w:t>PHIMC will provide support for development of continuing education modules for apprentices.</w:t>
      </w:r>
    </w:p>
    <w:p w14:paraId="0F059C00" w14:textId="77777777" w:rsidR="004C51FA" w:rsidRPr="002A0F74" w:rsidRDefault="004C51FA" w:rsidP="004C51FA">
      <w:pPr>
        <w:numPr>
          <w:ilvl w:val="1"/>
          <w:numId w:val="1"/>
        </w:numPr>
        <w:spacing w:after="0" w:line="240" w:lineRule="auto"/>
        <w:ind w:right="43" w:hanging="360"/>
        <w:jc w:val="both"/>
        <w:rPr>
          <w:rFonts w:cstheme="minorHAnsi"/>
          <w:sz w:val="24"/>
          <w:szCs w:val="24"/>
        </w:rPr>
      </w:pPr>
      <w:r w:rsidRPr="002A0F74">
        <w:rPr>
          <w:rFonts w:cstheme="minorHAnsi"/>
          <w:sz w:val="24"/>
          <w:szCs w:val="24"/>
        </w:rPr>
        <w:t>Process Development:</w:t>
      </w:r>
    </w:p>
    <w:p w14:paraId="653E7714" w14:textId="77777777" w:rsidR="004C51FA" w:rsidRPr="002A0F74" w:rsidRDefault="004C51FA" w:rsidP="004C51FA">
      <w:pPr>
        <w:numPr>
          <w:ilvl w:val="2"/>
          <w:numId w:val="1"/>
        </w:numPr>
        <w:spacing w:after="0" w:line="240" w:lineRule="auto"/>
        <w:ind w:right="43" w:hanging="360"/>
        <w:jc w:val="both"/>
        <w:rPr>
          <w:rFonts w:cstheme="minorHAnsi"/>
          <w:sz w:val="24"/>
          <w:szCs w:val="24"/>
        </w:rPr>
      </w:pPr>
      <w:r w:rsidRPr="002A0F74">
        <w:rPr>
          <w:rFonts w:cstheme="minorHAnsi"/>
          <w:sz w:val="24"/>
          <w:szCs w:val="24"/>
        </w:rPr>
        <w:t>PHIMC will provide narrative and framework for process development of apprenticeship model undertaken in the scope of work prior to grant period conclusion.</w:t>
      </w:r>
    </w:p>
    <w:p w14:paraId="2903DCFE" w14:textId="77777777" w:rsidR="00211389" w:rsidRDefault="00211389" w:rsidP="00211389">
      <w:pPr>
        <w:spacing w:after="295"/>
        <w:ind w:right="42"/>
        <w:rPr>
          <w:rFonts w:cstheme="minorHAnsi"/>
          <w:b/>
          <w:bCs/>
          <w:sz w:val="24"/>
          <w:szCs w:val="24"/>
          <w:u w:val="single"/>
        </w:rPr>
      </w:pPr>
    </w:p>
    <w:p w14:paraId="2216ED40" w14:textId="2FCA8A96" w:rsidR="006150CB" w:rsidRPr="00211389" w:rsidRDefault="00211389" w:rsidP="00211389">
      <w:pPr>
        <w:spacing w:after="295"/>
        <w:ind w:right="42"/>
        <w:rPr>
          <w:rFonts w:cstheme="minorHAnsi"/>
          <w:b/>
          <w:bCs/>
          <w:sz w:val="24"/>
          <w:szCs w:val="24"/>
          <w:u w:val="single"/>
        </w:rPr>
      </w:pPr>
      <w:r w:rsidRPr="00211389">
        <w:rPr>
          <w:rFonts w:cstheme="minorHAnsi"/>
          <w:b/>
          <w:bCs/>
          <w:sz w:val="24"/>
          <w:szCs w:val="24"/>
          <w:u w:val="single"/>
        </w:rPr>
        <w:t>Business Rationale, Question #</w:t>
      </w:r>
      <w:r>
        <w:rPr>
          <w:rFonts w:cstheme="minorHAnsi"/>
          <w:b/>
          <w:bCs/>
          <w:sz w:val="24"/>
          <w:szCs w:val="24"/>
          <w:u w:val="single"/>
        </w:rPr>
        <w:t>2</w:t>
      </w:r>
      <w:r w:rsidRPr="00211389">
        <w:rPr>
          <w:rFonts w:cstheme="minorHAnsi"/>
          <w:b/>
          <w:bCs/>
          <w:sz w:val="24"/>
          <w:szCs w:val="24"/>
          <w:u w:val="single"/>
        </w:rPr>
        <w:t>:</w:t>
      </w:r>
    </w:p>
    <w:p w14:paraId="037118DC" w14:textId="77777777" w:rsidR="004C51FA" w:rsidRPr="002A0F74" w:rsidRDefault="004C51FA" w:rsidP="004C51FA">
      <w:pPr>
        <w:pBdr>
          <w:top w:val="nil"/>
          <w:left w:val="nil"/>
          <w:bottom w:val="nil"/>
          <w:right w:val="nil"/>
          <w:between w:val="nil"/>
        </w:pBdr>
        <w:rPr>
          <w:rFonts w:eastAsia="Times New Roman" w:cstheme="minorHAnsi"/>
          <w:color w:val="000000"/>
          <w:sz w:val="24"/>
          <w:szCs w:val="24"/>
        </w:rPr>
      </w:pPr>
      <w:r w:rsidRPr="002A0F74">
        <w:rPr>
          <w:rFonts w:cstheme="minorHAnsi"/>
          <w:sz w:val="24"/>
          <w:szCs w:val="24"/>
        </w:rPr>
        <w:t>The vendor was selected as part of the application process for the HRSA OIFSP grant award which required the “</w:t>
      </w:r>
      <w:r w:rsidRPr="002A0F74">
        <w:rPr>
          <w:rFonts w:eastAsia="Times New Roman" w:cstheme="minorHAnsi"/>
          <w:color w:val="000000"/>
          <w:sz w:val="24"/>
          <w:szCs w:val="24"/>
        </w:rPr>
        <w:t xml:space="preserve">Ability to Identify Two Or More Health Disciplines or Service Providers That Will Be Collaborating and Training with The Trainees Supported Under This NOFO In Integrated, Interprofessional Team Based Care of OUD and Other SUD Services”. Public Health Institute of Metropolitan Chicago (PHIMC), Gateway Foundation, Inc. (GF), </w:t>
      </w:r>
      <w:r w:rsidRPr="00F905F4">
        <w:rPr>
          <w:rFonts w:eastAsia="Times New Roman" w:cstheme="minorHAnsi"/>
          <w:color w:val="000000"/>
          <w:sz w:val="24"/>
          <w:szCs w:val="24"/>
        </w:rPr>
        <w:t>University of Illinois at Chicago Department of Disability and Human Development (UIC DHD)</w:t>
      </w:r>
      <w:r>
        <w:rPr>
          <w:rFonts w:eastAsia="Times New Roman" w:cstheme="minorHAnsi"/>
          <w:color w:val="000000"/>
          <w:sz w:val="24"/>
          <w:szCs w:val="24"/>
        </w:rPr>
        <w:t xml:space="preserve">, </w:t>
      </w:r>
      <w:r w:rsidRPr="002A0F74">
        <w:rPr>
          <w:rFonts w:eastAsia="Times New Roman" w:cstheme="minorHAnsi"/>
          <w:color w:val="000000"/>
          <w:sz w:val="24"/>
          <w:szCs w:val="24"/>
        </w:rPr>
        <w:t>and Mile Square Health Center-UI Health were all approached as meeting the criteria to fulfill this grant requirement. PHIMC Gateway Foundation, Inc.</w:t>
      </w:r>
      <w:r>
        <w:rPr>
          <w:rFonts w:eastAsia="Times New Roman" w:cstheme="minorHAnsi"/>
          <w:color w:val="000000"/>
          <w:sz w:val="24"/>
          <w:szCs w:val="24"/>
        </w:rPr>
        <w:t>, and UIC DHD</w:t>
      </w:r>
      <w:r w:rsidRPr="002A0F74">
        <w:rPr>
          <w:rFonts w:eastAsia="Times New Roman" w:cstheme="minorHAnsi"/>
          <w:color w:val="000000"/>
          <w:sz w:val="24"/>
          <w:szCs w:val="24"/>
        </w:rPr>
        <w:t xml:space="preserve"> agreed to the partnership.  Mile Square Health Center-UI Health declined participation due to lack of resources.</w:t>
      </w:r>
    </w:p>
    <w:p w14:paraId="24D35889" w14:textId="77777777" w:rsidR="004C51FA" w:rsidRPr="002A0F74" w:rsidRDefault="004C51FA" w:rsidP="004C51FA">
      <w:pPr>
        <w:rPr>
          <w:rFonts w:eastAsia="Times New Roman" w:cstheme="minorHAnsi"/>
          <w:sz w:val="24"/>
          <w:szCs w:val="24"/>
        </w:rPr>
      </w:pPr>
      <w:r w:rsidRPr="002A0F74">
        <w:rPr>
          <w:rFonts w:eastAsia="Times New Roman" w:cstheme="minorHAnsi"/>
          <w:i/>
          <w:sz w:val="24"/>
          <w:szCs w:val="24"/>
        </w:rPr>
        <w:t>Public Health Institute of Metropolitan Chicago</w:t>
      </w:r>
      <w:r w:rsidRPr="002A0F74">
        <w:rPr>
          <w:rFonts w:eastAsia="Times New Roman" w:cstheme="minorHAnsi"/>
          <w:sz w:val="24"/>
          <w:szCs w:val="24"/>
        </w:rPr>
        <w:t xml:space="preserve"> (PHIMC) will serve as the second primary Level II partner on this project. PHIMC has, for over 20 years,</w:t>
      </w:r>
      <w:r w:rsidRPr="002A0F74">
        <w:rPr>
          <w:rFonts w:eastAsia="Times New Roman" w:cstheme="minorHAnsi"/>
          <w:sz w:val="24"/>
          <w:szCs w:val="24"/>
          <w:highlight w:val="white"/>
        </w:rPr>
        <w:t xml:space="preserve"> developed partnerships that enhance capacity and build infrastructure. PHIMC guides resources, programs, and attention to health issues and populations most in need by supporting collective impact that promotes health equity and access to care.</w:t>
      </w:r>
      <w:r w:rsidRPr="002A0F74">
        <w:rPr>
          <w:rFonts w:eastAsia="Times New Roman" w:cstheme="minorHAnsi"/>
          <w:sz w:val="24"/>
          <w:szCs w:val="24"/>
        </w:rPr>
        <w:t xml:space="preserve"> PHIMC implements the National Health Corps Chicago (NHC) to foster healthy communities by connecting those who need it most with health and wellness education, benefits, and services, while developing a cadre of compassionate health leaders. For the purpose of this project, members will provide services including related to reducing and/or preventing prescription drug and opioid overuse. PHIMC will leverage this program by allocating spaces for graduates of the MXC CHW program to serve in year-long apprenticeships. MXC and PHIMC will work together to identify appropriate placements for CHW graduates at a number of community and school-based sites, including Advocate Children’s Hospital; Heartland Alliance; Erie Family Health Center and its 3 school-based clinics; and Girls in the Game, where they will gain exposure to working with OUD/SUD- affected youth and other populations, provide targeted health education, and lead health and wellness programming.</w:t>
      </w:r>
    </w:p>
    <w:p w14:paraId="3D17BBA0" w14:textId="77777777" w:rsidR="00211389" w:rsidRDefault="00211389"/>
    <w:sectPr w:rsidR="00211389" w:rsidSect="0085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55D10"/>
    <w:multiLevelType w:val="hybridMultilevel"/>
    <w:tmpl w:val="DAD00A48"/>
    <w:lvl w:ilvl="0" w:tplc="BE1CC0B0">
      <w:start w:val="1"/>
      <w:numFmt w:val="upp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C7A8A">
      <w:start w:val="1"/>
      <w:numFmt w:val="decimal"/>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91EE">
      <w:start w:val="1"/>
      <w:numFmt w:val="lowerLetter"/>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C28A2">
      <w:start w:val="1"/>
      <w:numFmt w:val="decimal"/>
      <w:lvlText w:val="%4"/>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E17F8">
      <w:start w:val="1"/>
      <w:numFmt w:val="lowerLetter"/>
      <w:lvlText w:val="%5"/>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04FF6">
      <w:start w:val="1"/>
      <w:numFmt w:val="lowerRoman"/>
      <w:lvlText w:val="%6"/>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62196">
      <w:start w:val="1"/>
      <w:numFmt w:val="decimal"/>
      <w:lvlText w:val="%7"/>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1208">
      <w:start w:val="1"/>
      <w:numFmt w:val="lowerLetter"/>
      <w:lvlText w:val="%8"/>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578E">
      <w:start w:val="1"/>
      <w:numFmt w:val="lowerRoman"/>
      <w:lvlText w:val="%9"/>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9"/>
    <w:rsid w:val="00211389"/>
    <w:rsid w:val="004C51FA"/>
    <w:rsid w:val="00572679"/>
    <w:rsid w:val="00854729"/>
    <w:rsid w:val="00CE2C8C"/>
    <w:rsid w:val="00D95F25"/>
    <w:rsid w:val="00F0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8F507"/>
  <w14:defaultImageDpi w14:val="32767"/>
  <w15:chartTrackingRefBased/>
  <w15:docId w15:val="{ED6B761F-3839-B348-A33D-5B6743A8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E102A-1656-42DA-9B1F-0FEE3DBD0D86}"/>
</file>

<file path=customXml/itemProps2.xml><?xml version="1.0" encoding="utf-8"?>
<ds:datastoreItem xmlns:ds="http://schemas.openxmlformats.org/officeDocument/2006/customXml" ds:itemID="{988B8366-84FF-40FD-BE60-8CDABB35FCFE}"/>
</file>

<file path=customXml/itemProps3.xml><?xml version="1.0" encoding="utf-8"?>
<ds:datastoreItem xmlns:ds="http://schemas.openxmlformats.org/officeDocument/2006/customXml" ds:itemID="{CFFA7E11-2F4F-45A9-9B6C-5DFEEBE53652}"/>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Gmitter</dc:creator>
  <cp:keywords/>
  <dc:description/>
  <cp:lastModifiedBy>Elizabeth Gmitter</cp:lastModifiedBy>
  <cp:revision>3</cp:revision>
  <dcterms:created xsi:type="dcterms:W3CDTF">2020-11-30T21:27:00Z</dcterms:created>
  <dcterms:modified xsi:type="dcterms:W3CDTF">2020-11-30T21:39:00Z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